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5E84B7">
      <w:pPr>
        <w:spacing w:line="360" w:lineRule="auto"/>
        <w:ind w:firstLine="562" w:firstLineChars="100"/>
        <w:jc w:val="center"/>
        <w:rPr>
          <w:rFonts w:ascii="宋体" w:hAnsi="宋体"/>
          <w:b/>
          <w:sz w:val="56"/>
          <w:szCs w:val="52"/>
        </w:rPr>
      </w:pPr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0" b="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3EAC">
      <w:pPr>
        <w:spacing w:line="360" w:lineRule="auto"/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维普毕业设计（论文）管理系统</w:t>
      </w:r>
    </w:p>
    <w:p w14:paraId="74656F4A">
      <w:pPr>
        <w:spacing w:line="360" w:lineRule="auto"/>
        <w:rPr>
          <w:rFonts w:ascii="宋体" w:hAnsi="宋体"/>
        </w:rPr>
      </w:pPr>
    </w:p>
    <w:p w14:paraId="30F797D9">
      <w:pPr>
        <w:spacing w:line="360" w:lineRule="auto"/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浙江工商大学杭州商学院</w:t>
      </w:r>
    </w:p>
    <w:p w14:paraId="3595749A">
      <w:pPr>
        <w:spacing w:line="360" w:lineRule="auto"/>
        <w:jc w:val="center"/>
        <w:rPr>
          <w:rFonts w:hint="default" w:ascii="宋体" w:hAnsi="宋体" w:eastAsia="宋体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继续教育学院</w:t>
      </w:r>
    </w:p>
    <w:p w14:paraId="7A47D8A0">
      <w:pPr>
        <w:spacing w:line="360" w:lineRule="auto"/>
        <w:jc w:val="center"/>
        <w:rPr>
          <w:rFonts w:ascii="宋体" w:hAnsi="宋体"/>
          <w:sz w:val="48"/>
          <w:szCs w:val="48"/>
        </w:rPr>
      </w:pPr>
    </w:p>
    <w:p w14:paraId="30F0989A">
      <w:pPr>
        <w:spacing w:line="360" w:lineRule="auto"/>
        <w:rPr>
          <w:rFonts w:ascii="宋体" w:hAnsi="宋体"/>
        </w:rPr>
      </w:pPr>
    </w:p>
    <w:p w14:paraId="48291776">
      <w:pPr>
        <w:spacing w:line="360" w:lineRule="auto"/>
        <w:rPr>
          <w:rFonts w:ascii="宋体" w:hAnsi="宋体"/>
        </w:rPr>
      </w:pPr>
    </w:p>
    <w:p w14:paraId="6B9472A4">
      <w:pPr>
        <w:spacing w:line="360" w:lineRule="auto"/>
        <w:rPr>
          <w:rFonts w:ascii="宋体" w:hAnsi="宋体"/>
        </w:rPr>
      </w:pPr>
    </w:p>
    <w:p w14:paraId="0E2BB05F">
      <w:pPr>
        <w:spacing w:line="360" w:lineRule="auto"/>
        <w:rPr>
          <w:rFonts w:ascii="宋体" w:hAnsi="宋体"/>
        </w:rPr>
      </w:pPr>
    </w:p>
    <w:p w14:paraId="25C989B2">
      <w:pPr>
        <w:spacing w:line="360" w:lineRule="auto"/>
        <w:rPr>
          <w:rFonts w:ascii="宋体" w:hAnsi="宋体"/>
        </w:rPr>
      </w:pPr>
    </w:p>
    <w:p w14:paraId="5DD1FE26">
      <w:pPr>
        <w:spacing w:line="360" w:lineRule="auto"/>
        <w:rPr>
          <w:rFonts w:ascii="宋体" w:hAnsi="宋体"/>
        </w:rPr>
      </w:pPr>
    </w:p>
    <w:p w14:paraId="7FCB5E56">
      <w:pPr>
        <w:spacing w:line="360" w:lineRule="auto"/>
        <w:jc w:val="center"/>
        <w:rPr>
          <w:rFonts w:ascii="宋体" w:hAnsi="宋体"/>
          <w:b/>
          <w:sz w:val="56"/>
          <w:szCs w:val="52"/>
        </w:rPr>
      </w:pPr>
      <w:r>
        <w:rPr>
          <w:rFonts w:hint="eastAsia"/>
          <w:b/>
          <w:sz w:val="56"/>
          <w:szCs w:val="52"/>
          <w:lang w:val="en-US" w:eastAsia="zh-CN"/>
        </w:rPr>
        <w:t>学生</w:t>
      </w:r>
      <w:r>
        <w:rPr>
          <w:rFonts w:hint="eastAsia" w:ascii="宋体" w:hAnsi="宋体"/>
          <w:b/>
          <w:sz w:val="56"/>
          <w:szCs w:val="52"/>
        </w:rPr>
        <w:t>操作手册</w:t>
      </w:r>
    </w:p>
    <w:p w14:paraId="7898DF60">
      <w:pPr>
        <w:spacing w:line="360" w:lineRule="auto"/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（完整流程操作）</w:t>
      </w:r>
    </w:p>
    <w:p w14:paraId="052063D7">
      <w:pPr>
        <w:spacing w:line="360" w:lineRule="auto"/>
        <w:rPr>
          <w:rFonts w:ascii="宋体" w:hAnsi="宋体"/>
        </w:rPr>
      </w:pPr>
    </w:p>
    <w:p w14:paraId="16430513">
      <w:pPr>
        <w:spacing w:line="360" w:lineRule="auto"/>
        <w:rPr>
          <w:rFonts w:ascii="宋体" w:hAnsi="宋体"/>
        </w:rPr>
      </w:pPr>
    </w:p>
    <w:p w14:paraId="68152C14">
      <w:pPr>
        <w:spacing w:line="360" w:lineRule="auto"/>
        <w:rPr>
          <w:rFonts w:ascii="宋体" w:hAnsi="宋体"/>
        </w:rPr>
      </w:pPr>
    </w:p>
    <w:p w14:paraId="38BF0A9A">
      <w:pPr>
        <w:spacing w:line="360" w:lineRule="auto"/>
        <w:rPr>
          <w:rFonts w:ascii="宋体" w:hAnsi="宋体"/>
        </w:rPr>
      </w:pPr>
    </w:p>
    <w:p w14:paraId="0240FA3A">
      <w:pPr>
        <w:spacing w:line="360" w:lineRule="auto"/>
        <w:rPr>
          <w:rFonts w:ascii="宋体" w:hAnsi="宋体"/>
        </w:rPr>
      </w:pPr>
    </w:p>
    <w:p w14:paraId="34CFF24C">
      <w:pPr>
        <w:spacing w:line="360" w:lineRule="auto"/>
        <w:rPr>
          <w:rFonts w:ascii="宋体" w:hAnsi="宋体"/>
        </w:rPr>
      </w:pPr>
    </w:p>
    <w:p w14:paraId="23B1762E"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重庆泛语科技有限公司</w:t>
      </w:r>
    </w:p>
    <w:p w14:paraId="7F86A8A0">
      <w:pPr>
        <w:spacing w:line="360" w:lineRule="auto"/>
      </w:pPr>
    </w:p>
    <w:p w14:paraId="67BB649E">
      <w:pPr>
        <w:spacing w:line="360" w:lineRule="auto"/>
        <w:rPr>
          <w:rFonts w:hint="eastAsia"/>
          <w:lang w:eastAsia="zh-CN"/>
        </w:rPr>
      </w:pPr>
    </w:p>
    <w:p w14:paraId="0C63BCBD">
      <w:pPr>
        <w:jc w:val="center"/>
        <w:rPr>
          <w:sz w:val="21"/>
        </w:rPr>
      </w:pPr>
    </w:p>
    <w:sdt>
      <w:sdtPr>
        <w:rPr>
          <w:sz w:val="21"/>
        </w:rPr>
        <w:id w:val="147466538"/>
        <w15:color w:val="DBDBDB"/>
        <w:docPartObj>
          <w:docPartGallery w:val="Table of Contents"/>
          <w:docPartUnique/>
        </w:docPartObj>
      </w:sdtPr>
      <w:sdtEndPr>
        <w:rPr>
          <w:sz w:val="21"/>
        </w:rPr>
      </w:sdtEndPr>
      <w:sdtContent>
        <w:p w14:paraId="5922403B">
          <w:pPr>
            <w:jc w:val="center"/>
          </w:pPr>
          <w:r>
            <w:rPr>
              <w:sz w:val="21"/>
            </w:rPr>
            <w:t>目录</w:t>
          </w:r>
        </w:p>
        <w:p w14:paraId="085BEAEA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_Toc13084 </w:instrText>
          </w:r>
          <w: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44"/>
            </w:rPr>
            <w:t>一、系统登录</w:t>
          </w:r>
          <w:r>
            <w:tab/>
          </w:r>
          <w:r>
            <w:fldChar w:fldCharType="begin"/>
          </w:r>
          <w:r>
            <w:instrText xml:space="preserve"> PAGEREF _Toc13084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544DEF6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_Toc10678 </w:instrText>
          </w:r>
          <w:r>
            <w:fldChar w:fldCharType="separate"/>
          </w:r>
          <w:r>
            <w:rPr>
              <w:rFonts w:hint="eastAsia"/>
            </w:rPr>
            <w:t>二、个人信息填写</w:t>
          </w:r>
          <w:r>
            <w:tab/>
          </w:r>
          <w:r>
            <w:fldChar w:fldCharType="begin"/>
          </w:r>
          <w:r>
            <w:instrText xml:space="preserve"> PAGEREF _Toc10678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92773A4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_Toc748 </w:instrText>
          </w:r>
          <w:r>
            <w:fldChar w:fldCharType="separate"/>
          </w:r>
          <w:r>
            <w:rPr>
              <w:rFonts w:hint="eastAsia"/>
            </w:rPr>
            <w:t>三、系统主流程及操作方法</w:t>
          </w:r>
          <w:r>
            <w:tab/>
          </w:r>
          <w:r>
            <w:fldChar w:fldCharType="begin"/>
          </w:r>
          <w:r>
            <w:instrText xml:space="preserve"> PAGEREF _Toc748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AD69936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_Toc492 </w:instrText>
          </w:r>
          <w:r>
            <w:fldChar w:fldCharType="separate"/>
          </w:r>
          <w:r>
            <w:rPr>
              <w:rFonts w:hint="eastAsia"/>
            </w:rPr>
            <w:t>（一）课题选题</w:t>
          </w:r>
          <w:r>
            <w:tab/>
          </w:r>
          <w:r>
            <w:fldChar w:fldCharType="begin"/>
          </w:r>
          <w:r>
            <w:instrText xml:space="preserve"> PAGEREF _Toc492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0D51FF4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_Toc24565 </w:instrText>
          </w:r>
          <w: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</w:t>
          </w:r>
          <w:r>
            <w:rPr>
              <w:rFonts w:hint="eastAsia"/>
              <w:bCs/>
              <w:szCs w:val="28"/>
            </w:rPr>
            <w:t>.</w:t>
          </w:r>
          <w:r>
            <w:rPr>
              <w:rFonts w:hint="eastAsia"/>
              <w:bCs/>
              <w:szCs w:val="28"/>
              <w:lang w:val="en-US" w:eastAsia="zh-CN"/>
            </w:rPr>
            <w:t>查询指导关系</w:t>
          </w:r>
          <w:r>
            <w:tab/>
          </w:r>
          <w:r>
            <w:fldChar w:fldCharType="begin"/>
          </w:r>
          <w:r>
            <w:instrText xml:space="preserve"> PAGEREF _Toc24565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AF2E8C8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_Toc1003 </w:instrText>
          </w:r>
          <w: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</w:t>
          </w:r>
          <w:r>
            <w:rPr>
              <w:rFonts w:hint="eastAsia"/>
              <w:bCs/>
              <w:szCs w:val="28"/>
            </w:rPr>
            <w:t>.学生</w:t>
          </w:r>
          <w:r>
            <w:rPr>
              <w:rFonts w:hint="eastAsia"/>
              <w:bCs/>
              <w:szCs w:val="28"/>
              <w:lang w:val="en-US" w:eastAsia="zh-CN"/>
            </w:rPr>
            <w:t>申报</w:t>
          </w:r>
          <w:r>
            <w:rPr>
              <w:rFonts w:hint="eastAsia"/>
              <w:bCs/>
              <w:szCs w:val="28"/>
            </w:rPr>
            <w:t>课题</w:t>
          </w:r>
          <w:r>
            <w:tab/>
          </w:r>
          <w:r>
            <w:fldChar w:fldCharType="begin"/>
          </w:r>
          <w:r>
            <w:instrText xml:space="preserve"> PAGEREF _Toc1003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B5B32AE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_Toc12356 </w:instrText>
          </w:r>
          <w: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</w:t>
          </w:r>
          <w:r>
            <w:rPr>
              <w:rFonts w:hint="eastAsia"/>
              <w:bCs/>
              <w:szCs w:val="28"/>
            </w:rPr>
            <w:t>.学生选择课题</w:t>
          </w:r>
          <w:r>
            <w:tab/>
          </w:r>
          <w:r>
            <w:fldChar w:fldCharType="begin"/>
          </w:r>
          <w:r>
            <w:instrText xml:space="preserve"> PAGEREF _Toc12356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8B156CE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_Toc11068 </w:instrText>
          </w:r>
          <w:r>
            <w:fldChar w:fldCharType="separate"/>
          </w:r>
          <w:r>
            <w:rPr>
              <w:rFonts w:hint="eastAsia"/>
            </w:rPr>
            <w:t>（二）过程管理</w:t>
          </w:r>
          <w:r>
            <w:tab/>
          </w:r>
          <w:r>
            <w:fldChar w:fldCharType="begin"/>
          </w:r>
          <w:r>
            <w:instrText xml:space="preserve"> PAGEREF _Toc11068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FA7DDBA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_Toc8257 </w:instrText>
          </w:r>
          <w: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</w:t>
          </w:r>
          <w:r>
            <w:rPr>
              <w:rFonts w:hint="eastAsia"/>
              <w:bCs/>
              <w:szCs w:val="28"/>
            </w:rPr>
            <w:t>.学生</w:t>
          </w:r>
          <w:r>
            <w:rPr>
              <w:rFonts w:hint="eastAsia"/>
              <w:bCs/>
              <w:szCs w:val="28"/>
              <w:lang w:val="en-US" w:eastAsia="zh-CN"/>
            </w:rPr>
            <w:t>提交开题报告与文献综述</w:t>
          </w:r>
          <w:r>
            <w:tab/>
          </w:r>
          <w:r>
            <w:fldChar w:fldCharType="begin"/>
          </w:r>
          <w:r>
            <w:instrText xml:space="preserve"> PAGEREF _Toc8257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E6C01BE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_Toc7576 </w:instrText>
          </w:r>
          <w: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</w:t>
          </w:r>
          <w:r>
            <w:rPr>
              <w:rFonts w:hint="eastAsia"/>
              <w:bCs/>
              <w:szCs w:val="28"/>
            </w:rPr>
            <w:t>.学生提交</w:t>
          </w:r>
          <w:r>
            <w:rPr>
              <w:rFonts w:hint="eastAsia"/>
              <w:bCs/>
              <w:szCs w:val="28"/>
              <w:lang w:val="en-US" w:eastAsia="zh-CN"/>
            </w:rPr>
            <w:t>初稿</w:t>
          </w:r>
          <w:r>
            <w:tab/>
          </w:r>
          <w:r>
            <w:fldChar w:fldCharType="begin"/>
          </w:r>
          <w:r>
            <w:instrText xml:space="preserve"> PAGEREF _Toc7576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2B1EC11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_Toc9680 </w:instrText>
          </w:r>
          <w: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</w:t>
          </w:r>
          <w:r>
            <w:rPr>
              <w:rFonts w:hint="eastAsia"/>
              <w:bCs/>
              <w:szCs w:val="28"/>
            </w:rPr>
            <w:t>.学生提交</w:t>
          </w:r>
          <w:r>
            <w:rPr>
              <w:rFonts w:hint="eastAsia"/>
              <w:bCs/>
              <w:szCs w:val="28"/>
              <w:lang w:val="en-US" w:eastAsia="zh-CN"/>
            </w:rPr>
            <w:t>答辩稿</w:t>
          </w:r>
          <w:r>
            <w:tab/>
          </w:r>
          <w:r>
            <w:fldChar w:fldCharType="begin"/>
          </w:r>
          <w:r>
            <w:instrText xml:space="preserve"> PAGEREF _Toc9680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5D76C1C3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_Toc3107 </w:instrText>
          </w:r>
          <w: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</w:t>
          </w:r>
          <w:r>
            <w:rPr>
              <w:rFonts w:hint="eastAsia"/>
              <w:bCs/>
              <w:szCs w:val="28"/>
            </w:rPr>
            <w:t>.学生提交</w:t>
          </w:r>
          <w:r>
            <w:rPr>
              <w:rFonts w:hint="eastAsia"/>
              <w:bCs/>
              <w:szCs w:val="28"/>
              <w:lang w:val="en-US" w:eastAsia="zh-CN"/>
            </w:rPr>
            <w:t>指导日志</w:t>
          </w:r>
          <w:r>
            <w:tab/>
          </w:r>
          <w:r>
            <w:fldChar w:fldCharType="begin"/>
          </w:r>
          <w:r>
            <w:instrText xml:space="preserve"> PAGEREF _Toc3107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2755C50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_Toc7464 </w:instrText>
          </w:r>
          <w:r>
            <w:fldChar w:fldCharType="separate"/>
          </w:r>
          <w:r>
            <w:rPr>
              <w:rFonts w:hint="eastAsia"/>
            </w:rPr>
            <w:t>（</w:t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</w:rPr>
            <w:t>）</w:t>
          </w:r>
          <w:r>
            <w:rPr>
              <w:rFonts w:hint="eastAsia"/>
              <w:lang w:val="en-US" w:eastAsia="zh-CN"/>
            </w:rPr>
            <w:t>最终稿</w:t>
          </w:r>
          <w:r>
            <w:tab/>
          </w:r>
          <w:r>
            <w:fldChar w:fldCharType="begin"/>
          </w:r>
          <w:r>
            <w:instrText xml:space="preserve"> PAGEREF _Toc7464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CD032BE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_Toc6993 </w:instrText>
          </w:r>
          <w: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</w:t>
          </w:r>
          <w:r>
            <w:rPr>
              <w:rFonts w:hint="eastAsia"/>
              <w:bCs/>
              <w:szCs w:val="28"/>
            </w:rPr>
            <w:t>.学生提交</w:t>
          </w:r>
          <w:r>
            <w:rPr>
              <w:rFonts w:hint="eastAsia"/>
              <w:bCs/>
              <w:szCs w:val="28"/>
              <w:lang w:val="en-US" w:eastAsia="zh-CN"/>
            </w:rPr>
            <w:t>最终稿</w:t>
          </w:r>
          <w:r>
            <w:tab/>
          </w:r>
          <w:r>
            <w:fldChar w:fldCharType="begin"/>
          </w:r>
          <w:r>
            <w:instrText xml:space="preserve"> PAGEREF _Toc6993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7DA98C5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_Toc21920 </w:instrText>
          </w:r>
          <w:r>
            <w:fldChar w:fldCharType="separate"/>
          </w:r>
          <w:r>
            <w:rPr>
              <w:rFonts w:hint="eastAsia"/>
            </w:rPr>
            <w:t>（</w:t>
          </w:r>
          <w:r>
            <w:rPr>
              <w:rFonts w:hint="eastAsia"/>
              <w:lang w:val="en-US" w:eastAsia="zh-CN"/>
            </w:rPr>
            <w:t>四</w:t>
          </w:r>
          <w:r>
            <w:rPr>
              <w:rFonts w:hint="eastAsia"/>
            </w:rPr>
            <w:t>）</w:t>
          </w:r>
          <w:r>
            <w:rPr>
              <w:rFonts w:hint="eastAsia"/>
              <w:lang w:val="en-US" w:eastAsia="zh-CN"/>
            </w:rPr>
            <w:t>下载中心</w:t>
          </w:r>
          <w:r>
            <w:tab/>
          </w:r>
          <w:r>
            <w:fldChar w:fldCharType="begin"/>
          </w:r>
          <w:r>
            <w:instrText xml:space="preserve"> PAGEREF _Toc21920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03B5DBAC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_Toc28421 </w:instrText>
          </w:r>
          <w:r>
            <w:fldChar w:fldCharType="separate"/>
          </w:r>
          <w:r>
            <w:rPr>
              <w:rFonts w:hint="eastAsia"/>
              <w:bCs/>
              <w:szCs w:val="28"/>
            </w:rPr>
            <w:t>1.</w:t>
          </w:r>
          <w:r>
            <w:rPr>
              <w:rFonts w:hint="eastAsia"/>
              <w:bCs/>
              <w:szCs w:val="28"/>
              <w:lang w:val="en-US" w:eastAsia="zh-CN"/>
            </w:rPr>
            <w:t>文件下载</w:t>
          </w:r>
          <w:r>
            <w:tab/>
          </w:r>
          <w:r>
            <w:fldChar w:fldCharType="begin"/>
          </w:r>
          <w:r>
            <w:instrText xml:space="preserve"> PAGEREF _Toc28421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4F18F8CE">
          <w:pPr>
            <w:snapToGrid w:val="0"/>
          </w:pPr>
          <w:r>
            <w:fldChar w:fldCharType="end"/>
          </w:r>
        </w:p>
      </w:sdtContent>
    </w:sdt>
    <w:p w14:paraId="5FB4B650">
      <w:pPr>
        <w:pStyle w:val="15"/>
        <w:spacing w:before="156" w:beforeLines="50" w:after="156" w:afterLines="50"/>
        <w:ind w:firstLineChars="0"/>
        <w:outlineLvl w:val="0"/>
        <w:rPr>
          <w:rFonts w:asciiTheme="minorHAnsi" w:hAnsiTheme="minorHAnsi" w:eastAsiaTheme="minorEastAsia" w:cstheme="minorBidi"/>
          <w:b/>
          <w:kern w:val="44"/>
          <w:sz w:val="44"/>
        </w:rPr>
      </w:pPr>
      <w:r>
        <w:rPr>
          <w:szCs w:val="30"/>
        </w:rPr>
        <w:br w:type="page"/>
      </w:r>
      <w:bookmarkStart w:id="0" w:name="_Toc13084"/>
      <w:r>
        <w:rPr>
          <w:rFonts w:hint="eastAsia" w:asciiTheme="minorHAnsi" w:hAnsiTheme="minorHAnsi" w:eastAsiaTheme="minorEastAsia" w:cstheme="minorBidi"/>
          <w:b/>
          <w:kern w:val="44"/>
          <w:sz w:val="44"/>
        </w:rPr>
        <w:t>一、系统登录</w:t>
      </w:r>
      <w:bookmarkEnd w:id="0"/>
    </w:p>
    <w:p w14:paraId="582CFE18">
      <w:pPr>
        <w:snapToGrid w:val="0"/>
        <w:spacing w:before="156" w:beforeLines="50" w:after="156" w:afterLines="50"/>
        <w:ind w:firstLine="482"/>
      </w:pPr>
      <w:r>
        <w:rPr>
          <w:rFonts w:hint="eastAsia"/>
        </w:rPr>
        <w:t>★第1步：打开系统登录页面:https://vgms.fanyu.com/</w:t>
      </w:r>
    </w:p>
    <w:p w14:paraId="692FCE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</w:rPr>
        <w:t>★第2步：选择学校“</w:t>
      </w:r>
      <w:r>
        <w:rPr>
          <w:rFonts w:hint="eastAsia"/>
          <w:u w:color="auto"/>
          <w:lang w:val="en-US" w:eastAsia="zh-CN"/>
        </w:rPr>
        <w:t>浙江工商大学杭州商学院继续教育学院</w:t>
      </w:r>
      <w:r>
        <w:rPr>
          <w:rFonts w:hint="eastAsia"/>
        </w:rPr>
        <w:t>”</w:t>
      </w:r>
      <w:r>
        <w:rPr>
          <w:rFonts w:hint="eastAsia" w:ascii="宋体" w:hAnsi="宋体" w:eastAsia="宋体" w:cs="宋体"/>
          <w:color w:val="303030"/>
          <w:sz w:val="24"/>
          <w:szCs w:val="28"/>
        </w:rPr>
        <w:t>，输入账号和密码（账号为学号/工号，初始密码：以学校通知为准）点击登录即可。</w:t>
      </w:r>
    </w:p>
    <w:p w14:paraId="61BB2763">
      <w:pPr>
        <w:spacing w:before="156" w:after="156"/>
      </w:pPr>
      <w:r>
        <w:drawing>
          <wp:inline distT="0" distB="0" distL="114300" distR="114300">
            <wp:extent cx="5263515" cy="2677160"/>
            <wp:effectExtent l="0" t="0" r="381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F720">
      <w:pPr>
        <w:snapToGrid w:val="0"/>
        <w:ind w:firstLine="420"/>
      </w:pPr>
      <w:r>
        <w:rPr>
          <w:rFonts w:hint="eastAsia"/>
        </w:rPr>
        <w:t>首页：登录后进入首页，所有角色可以看到工作流，工作流的作用如图所示：</w:t>
      </w:r>
    </w:p>
    <w:p w14:paraId="0574459B">
      <w:pPr>
        <w:spacing w:line="360" w:lineRule="auto"/>
      </w:pPr>
      <w:r>
        <w:drawing>
          <wp:inline distT="0" distB="0" distL="114300" distR="114300">
            <wp:extent cx="5266690" cy="2501900"/>
            <wp:effectExtent l="0" t="0" r="635" b="317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79D5">
      <w:bookmarkStart w:id="1" w:name="_Toc29699"/>
      <w:r>
        <w:rPr>
          <w:rFonts w:hint="eastAsia"/>
        </w:rPr>
        <w:br w:type="page"/>
      </w:r>
    </w:p>
    <w:p w14:paraId="1FE760B1">
      <w:pPr>
        <w:pStyle w:val="2"/>
        <w:spacing w:before="156" w:beforeLines="50" w:after="156" w:afterLines="50" w:line="240" w:lineRule="auto"/>
        <w:ind w:firstLine="420"/>
      </w:pPr>
      <w:bookmarkStart w:id="2" w:name="_Toc10678"/>
      <w:r>
        <w:rPr>
          <w:rFonts w:hint="eastAsia"/>
        </w:rPr>
        <w:t>二、个人信息填写</w:t>
      </w:r>
      <w:bookmarkEnd w:id="1"/>
      <w:bookmarkEnd w:id="2"/>
    </w:p>
    <w:p w14:paraId="63642CAC">
      <w:pPr>
        <w:snapToGrid w:val="0"/>
        <w:ind w:firstLine="420"/>
        <w:rPr>
          <w:rFonts w:ascii="微软雅黑" w:hAnsi="微软雅黑"/>
          <w:color w:val="FF0000"/>
        </w:rPr>
      </w:pPr>
      <w:r>
        <w:rPr>
          <w:rFonts w:hint="eastAsia" w:ascii="微软雅黑" w:hAnsi="微软雅黑"/>
        </w:rPr>
        <w:t>第一步：点击左侧菜单进入“个人设置——个人信息”，这里可以填写自己的个人信息、电子签名等。</w:t>
      </w:r>
    </w:p>
    <w:p w14:paraId="2535CA80">
      <w:pPr>
        <w:snapToGrid w:val="0"/>
      </w:pPr>
      <w:r>
        <w:drawing>
          <wp:inline distT="0" distB="0" distL="114300" distR="114300">
            <wp:extent cx="5271770" cy="2598420"/>
            <wp:effectExtent l="0" t="0" r="5080" b="190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37C76">
      <w:pPr>
        <w:snapToGrid w:val="0"/>
        <w:ind w:firstLine="42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第二步：可根据自己需求在安全中心中进行绑定安全邮箱、绑定手机号、绑定微信、密码修改等操作。</w:t>
      </w:r>
    </w:p>
    <w:p w14:paraId="20AA0E21">
      <w:pPr>
        <w:spacing w:line="360" w:lineRule="auto"/>
        <w:rPr>
          <w:rFonts w:ascii="微软雅黑" w:hAnsi="微软雅黑"/>
        </w:rPr>
      </w:pPr>
      <w:r>
        <w:drawing>
          <wp:inline distT="0" distB="0" distL="114300" distR="114300">
            <wp:extent cx="5263515" cy="2216785"/>
            <wp:effectExtent l="0" t="0" r="3810" b="254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5C0C">
      <w:bookmarkStart w:id="3" w:name="_Toc19677"/>
      <w:bookmarkStart w:id="4" w:name="_Toc16860"/>
      <w:r>
        <w:rPr>
          <w:rFonts w:hint="eastAsia"/>
        </w:rPr>
        <w:br w:type="page"/>
      </w:r>
    </w:p>
    <w:p w14:paraId="6A9975EF">
      <w:pPr>
        <w:pStyle w:val="2"/>
        <w:snapToGrid w:val="0"/>
        <w:spacing w:before="156" w:beforeLines="50" w:after="156" w:afterLines="50" w:line="360" w:lineRule="auto"/>
        <w:ind w:firstLine="420"/>
      </w:pPr>
      <w:bookmarkStart w:id="5" w:name="_Toc748"/>
      <w:r>
        <w:rPr>
          <w:rFonts w:hint="eastAsia"/>
        </w:rPr>
        <w:t>三、</w:t>
      </w:r>
      <w:bookmarkEnd w:id="3"/>
      <w:r>
        <w:rPr>
          <w:rFonts w:hint="eastAsia"/>
        </w:rPr>
        <w:t>系统主流程及操作方法</w:t>
      </w:r>
      <w:bookmarkEnd w:id="4"/>
      <w:bookmarkEnd w:id="5"/>
    </w:p>
    <w:p w14:paraId="4BA40311">
      <w:pPr>
        <w:pStyle w:val="3"/>
        <w:snapToGrid w:val="0"/>
        <w:spacing w:before="156" w:beforeLines="50" w:after="156" w:afterLines="50" w:line="240" w:lineRule="auto"/>
        <w:ind w:firstLine="420"/>
      </w:pPr>
      <w:bookmarkStart w:id="6" w:name="_Toc492"/>
      <w:r>
        <w:rPr>
          <w:rFonts w:hint="eastAsia"/>
        </w:rPr>
        <w:t>（一）课题选题</w:t>
      </w:r>
      <w:bookmarkEnd w:id="6"/>
    </w:p>
    <w:p w14:paraId="43ACE18C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eastAsia" w:eastAsia="宋体"/>
          <w:b w:val="0"/>
          <w:bCs/>
          <w:sz w:val="28"/>
          <w:szCs w:val="28"/>
          <w:lang w:eastAsia="zh-CN"/>
        </w:rPr>
      </w:pPr>
      <w:bookmarkStart w:id="7" w:name="_Toc1003"/>
      <w:bookmarkStart w:id="8" w:name="_Toc13007"/>
      <w:bookmarkStart w:id="9" w:name="_Toc29369"/>
      <w:r>
        <w:rPr>
          <w:rFonts w:hint="eastAsia"/>
          <w:b w:val="0"/>
          <w:bCs/>
          <w:sz w:val="28"/>
          <w:szCs w:val="28"/>
          <w:lang w:val="en-US" w:eastAsia="zh-CN"/>
        </w:rPr>
        <w:t>1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</w:rPr>
        <w:t>学生</w:t>
      </w:r>
      <w:r>
        <w:rPr>
          <w:rFonts w:hint="eastAsia"/>
          <w:b w:val="0"/>
          <w:bCs/>
          <w:sz w:val="28"/>
          <w:szCs w:val="28"/>
          <w:lang w:val="en-US" w:eastAsia="zh-CN"/>
        </w:rPr>
        <w:t>申报</w:t>
      </w:r>
      <w:r>
        <w:rPr>
          <w:rFonts w:hint="eastAsia"/>
          <w:b w:val="0"/>
          <w:bCs/>
          <w:sz w:val="28"/>
          <w:szCs w:val="28"/>
        </w:rPr>
        <w:t>课题</w:t>
      </w:r>
      <w:bookmarkEnd w:id="7"/>
    </w:p>
    <w:p w14:paraId="4533DBE0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点击左侧菜单进入“选题管理”—“</w:t>
      </w:r>
      <w:r>
        <w:rPr>
          <w:rFonts w:hint="eastAsia" w:ascii="微软雅黑" w:hAnsi="微软雅黑"/>
          <w:lang w:val="en-US" w:eastAsia="zh-CN"/>
        </w:rPr>
        <w:t>课题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申报课题</w:t>
      </w:r>
      <w:r>
        <w:rPr>
          <w:rFonts w:hint="eastAsia" w:ascii="微软雅黑" w:hAnsi="微软雅黑"/>
        </w:rPr>
        <w:t>”页面。</w:t>
      </w:r>
    </w:p>
    <w:p w14:paraId="552DB2FB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点击“</w:t>
      </w:r>
      <w:r>
        <w:rPr>
          <w:rFonts w:hint="eastAsia" w:ascii="微软雅黑" w:hAnsi="微软雅黑"/>
          <w:lang w:val="en-US" w:eastAsia="zh-CN"/>
        </w:rPr>
        <w:t>+新增</w:t>
      </w:r>
      <w:r>
        <w:rPr>
          <w:rFonts w:hint="eastAsia" w:ascii="微软雅黑" w:hAnsi="微软雅黑"/>
        </w:rPr>
        <w:t>”按钮，在弹出页面中，</w:t>
      </w:r>
      <w:r>
        <w:rPr>
          <w:rFonts w:hint="eastAsia" w:ascii="微软雅黑" w:hAnsi="微软雅黑"/>
          <w:lang w:val="en-US" w:eastAsia="zh-CN"/>
        </w:rPr>
        <w:t>填写相关课题信息</w:t>
      </w:r>
      <w:r>
        <w:rPr>
          <w:rFonts w:hint="eastAsia" w:ascii="微软雅黑" w:hAnsi="微软雅黑"/>
        </w:rPr>
        <w:t>，点击“</w:t>
      </w:r>
      <w:r>
        <w:rPr>
          <w:rFonts w:hint="eastAsia" w:ascii="微软雅黑" w:hAnsi="微软雅黑"/>
          <w:lang w:val="en-US" w:eastAsia="zh-CN"/>
        </w:rPr>
        <w:t>确认</w:t>
      </w:r>
      <w:r>
        <w:rPr>
          <w:rFonts w:hint="eastAsia" w:ascii="微软雅黑" w:hAnsi="微软雅黑"/>
        </w:rPr>
        <w:t>”按钮</w:t>
      </w:r>
      <w:r>
        <w:rPr>
          <w:rFonts w:hint="eastAsia" w:ascii="微软雅黑" w:hAnsi="微软雅黑"/>
          <w:lang w:val="en-US" w:eastAsia="zh-CN"/>
        </w:rPr>
        <w:t>申报</w:t>
      </w:r>
      <w:r>
        <w:rPr>
          <w:rFonts w:hint="eastAsia" w:ascii="微软雅黑" w:hAnsi="微软雅黑"/>
        </w:rPr>
        <w:t>完成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后续等待指导教师审核</w:t>
      </w:r>
      <w:r>
        <w:rPr>
          <w:rFonts w:hint="eastAsia" w:ascii="微软雅黑" w:hAnsi="微软雅黑"/>
        </w:rPr>
        <w:t>。</w:t>
      </w:r>
    </w:p>
    <w:p w14:paraId="3A8476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textAlignment w:val="auto"/>
      </w:pPr>
      <w:r>
        <w:drawing>
          <wp:inline distT="0" distB="0" distL="114300" distR="114300">
            <wp:extent cx="4498340" cy="3175635"/>
            <wp:effectExtent l="0" t="0" r="6985" b="571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CF03">
      <w:pPr>
        <w:snapToGrid w:val="0"/>
      </w:pPr>
      <w:r>
        <w:drawing>
          <wp:inline distT="0" distB="0" distL="114300" distR="114300">
            <wp:extent cx="5267325" cy="2522220"/>
            <wp:effectExtent l="0" t="0" r="9525" b="1143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1165">
      <w:pPr>
        <w:snapToGrid w:val="0"/>
        <w:ind w:firstLine="420" w:firstLineChars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注：申报课题后等待指导教师审核</w:t>
      </w:r>
    </w:p>
    <w:bookmarkEnd w:id="8"/>
    <w:bookmarkEnd w:id="9"/>
    <w:p w14:paraId="206BE3F0">
      <w:pPr>
        <w:pStyle w:val="3"/>
        <w:snapToGrid w:val="0"/>
        <w:spacing w:before="156" w:beforeLines="50" w:after="156" w:afterLines="50" w:line="240" w:lineRule="auto"/>
        <w:ind w:firstLine="420"/>
      </w:pPr>
      <w:bookmarkStart w:id="10" w:name="_Toc11068"/>
      <w:bookmarkStart w:id="11" w:name="_Toc119"/>
      <w:r>
        <w:rPr>
          <w:rFonts w:hint="eastAsia"/>
        </w:rPr>
        <w:t>（二）过程管理</w:t>
      </w:r>
      <w:bookmarkEnd w:id="10"/>
      <w:bookmarkEnd w:id="11"/>
    </w:p>
    <w:p w14:paraId="7C658A1D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default"/>
          <w:lang w:val="en-US" w:eastAsia="zh-CN"/>
        </w:rPr>
      </w:pPr>
      <w:bookmarkStart w:id="12" w:name="_Toc8257"/>
      <w:r>
        <w:rPr>
          <w:rFonts w:hint="eastAsia"/>
          <w:b w:val="0"/>
          <w:bCs/>
          <w:sz w:val="28"/>
          <w:szCs w:val="28"/>
          <w:lang w:val="en-US" w:eastAsia="zh-CN"/>
        </w:rPr>
        <w:t>1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</w:rPr>
        <w:t>学生</w:t>
      </w:r>
      <w:r>
        <w:rPr>
          <w:rFonts w:hint="eastAsia"/>
          <w:b w:val="0"/>
          <w:bCs/>
          <w:sz w:val="28"/>
          <w:szCs w:val="28"/>
          <w:lang w:val="en-US" w:eastAsia="zh-CN"/>
        </w:rPr>
        <w:t>提交</w:t>
      </w:r>
      <w:bookmarkEnd w:id="12"/>
      <w:r>
        <w:rPr>
          <w:rFonts w:hint="eastAsia"/>
          <w:b w:val="0"/>
          <w:bCs/>
          <w:sz w:val="28"/>
          <w:szCs w:val="28"/>
          <w:lang w:val="en-US" w:eastAsia="zh-CN"/>
        </w:rPr>
        <w:t>开题报告与文献综述</w:t>
      </w:r>
    </w:p>
    <w:p w14:paraId="22B36B90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点击左侧菜单进入“过程管理”—“</w:t>
      </w:r>
      <w:r>
        <w:rPr>
          <w:rFonts w:hint="eastAsia" w:ascii="微软雅黑" w:hAnsi="微软雅黑"/>
          <w:lang w:val="en-US" w:eastAsia="zh-CN"/>
        </w:rPr>
        <w:t>开题报告与文献综述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编辑开题报告与文献综述</w:t>
      </w:r>
      <w:r>
        <w:rPr>
          <w:rFonts w:hint="eastAsia" w:ascii="微软雅黑" w:hAnsi="微软雅黑"/>
        </w:rPr>
        <w:t>”页面。</w:t>
      </w:r>
    </w:p>
    <w:p w14:paraId="487FAD61">
      <w:pPr>
        <w:snapToGrid w:val="0"/>
        <w:ind w:firstLine="480" w:firstLineChars="200"/>
        <w:rPr>
          <w:rFonts w:hint="default" w:ascii="微软雅黑" w:hAnsi="微软雅黑" w:eastAsia="宋体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在待办事项中点击“处理”也可进入编辑开题报告与文献综述页面。</w:t>
      </w:r>
    </w:p>
    <w:p w14:paraId="2923EE43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点击“</w:t>
      </w:r>
      <w:r>
        <w:rPr>
          <w:rFonts w:hint="eastAsia" w:ascii="微软雅黑" w:hAnsi="微软雅黑"/>
          <w:lang w:val="en-US" w:eastAsia="zh-CN"/>
        </w:rPr>
        <w:t>编辑</w:t>
      </w:r>
      <w:r>
        <w:rPr>
          <w:rFonts w:hint="eastAsia" w:ascii="微软雅黑" w:hAnsi="微软雅黑"/>
        </w:rPr>
        <w:t>”按钮，在弹出页面中，</w:t>
      </w:r>
      <w:r>
        <w:rPr>
          <w:rFonts w:hint="eastAsia" w:ascii="微软雅黑" w:hAnsi="微软雅黑"/>
          <w:lang w:val="en-US" w:eastAsia="zh-CN"/>
        </w:rPr>
        <w:t>填写开题报告与文献综述内容信息</w:t>
      </w:r>
      <w:r>
        <w:rPr>
          <w:rFonts w:hint="eastAsia" w:ascii="微软雅黑" w:hAnsi="微软雅黑"/>
        </w:rPr>
        <w:t>，点击“</w:t>
      </w:r>
      <w:r>
        <w:rPr>
          <w:rFonts w:hint="eastAsia" w:ascii="微软雅黑" w:hAnsi="微软雅黑"/>
          <w:lang w:val="en-US" w:eastAsia="zh-CN"/>
        </w:rPr>
        <w:t>确定</w:t>
      </w:r>
      <w:r>
        <w:rPr>
          <w:rFonts w:hint="eastAsia" w:ascii="微软雅黑" w:hAnsi="微软雅黑"/>
        </w:rPr>
        <w:t>”</w:t>
      </w:r>
      <w:r>
        <w:rPr>
          <w:rFonts w:hint="eastAsia" w:ascii="微软雅黑" w:hAnsi="微软雅黑"/>
          <w:lang w:val="en-US" w:eastAsia="zh-CN"/>
        </w:rPr>
        <w:t>即可</w:t>
      </w:r>
      <w:r>
        <w:rPr>
          <w:rFonts w:hint="eastAsia" w:ascii="微软雅黑" w:hAnsi="微软雅黑"/>
        </w:rPr>
        <w:t>。</w:t>
      </w:r>
    </w:p>
    <w:p w14:paraId="7EFE07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textAlignment w:val="auto"/>
      </w:pPr>
      <w:r>
        <w:drawing>
          <wp:inline distT="0" distB="0" distL="114300" distR="114300">
            <wp:extent cx="5269865" cy="2536190"/>
            <wp:effectExtent l="0" t="0" r="6985" b="698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E896A">
      <w:pPr>
        <w:snapToGrid w:val="0"/>
      </w:pPr>
      <w:r>
        <w:drawing>
          <wp:inline distT="0" distB="0" distL="114300" distR="114300">
            <wp:extent cx="5263515" cy="2247900"/>
            <wp:effectExtent l="0" t="0" r="13335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F8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textAlignment w:val="auto"/>
      </w:pPr>
      <w:bookmarkStart w:id="19" w:name="_GoBack"/>
      <w:r>
        <w:drawing>
          <wp:inline distT="0" distB="0" distL="114300" distR="114300">
            <wp:extent cx="5261610" cy="2458085"/>
            <wp:effectExtent l="0" t="0" r="5715" b="889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14:paraId="572E1FD3">
      <w:pPr>
        <w:snapToGrid w:val="0"/>
      </w:pPr>
      <w:r>
        <w:drawing>
          <wp:inline distT="0" distB="0" distL="114300" distR="114300">
            <wp:extent cx="5264150" cy="2273935"/>
            <wp:effectExtent l="0" t="0" r="3175" b="254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0196">
      <w:pPr>
        <w:snapToGrid w:val="0"/>
        <w:ind w:firstLine="420" w:firstLineChars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（1）开题报告与文献综述流程为在课题申报选择“是”的学生才需要提交；</w:t>
      </w:r>
    </w:p>
    <w:p w14:paraId="11371161">
      <w:pPr>
        <w:snapToGrid w:val="0"/>
        <w:ind w:firstLine="420" w:firstLineChars="0"/>
        <w:rPr>
          <w:rFonts w:hint="default" w:eastAsia="宋体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（2）提交之后状态为：指导教师审核，可等待或联系指导教师审核。</w:t>
      </w:r>
    </w:p>
    <w:p w14:paraId="3CD1FEEB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default" w:eastAsia="宋体"/>
          <w:b w:val="0"/>
          <w:bCs/>
          <w:sz w:val="28"/>
          <w:szCs w:val="28"/>
          <w:lang w:val="en-US" w:eastAsia="zh-CN"/>
        </w:rPr>
      </w:pPr>
      <w:bookmarkStart w:id="13" w:name="_Toc7576"/>
      <w:r>
        <w:rPr>
          <w:rFonts w:hint="eastAsia"/>
          <w:b w:val="0"/>
          <w:bCs/>
          <w:sz w:val="28"/>
          <w:szCs w:val="28"/>
          <w:lang w:val="en-US" w:eastAsia="zh-CN"/>
        </w:rPr>
        <w:t>2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</w:rPr>
        <w:t>学生</w:t>
      </w:r>
      <w:r>
        <w:rPr>
          <w:rFonts w:hint="eastAsia"/>
          <w:b w:val="0"/>
          <w:bCs/>
          <w:sz w:val="28"/>
          <w:szCs w:val="28"/>
        </w:rPr>
        <w:t>提交</w:t>
      </w:r>
      <w:bookmarkEnd w:id="13"/>
      <w:r>
        <w:rPr>
          <w:rFonts w:hint="eastAsia"/>
          <w:b w:val="0"/>
          <w:bCs/>
          <w:sz w:val="28"/>
          <w:szCs w:val="28"/>
          <w:lang w:val="en-US" w:eastAsia="zh-CN"/>
        </w:rPr>
        <w:t>初稿</w:t>
      </w:r>
    </w:p>
    <w:p w14:paraId="09F3D5B7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点击左侧菜单进入“过程管理”—“</w:t>
      </w:r>
      <w:r>
        <w:rPr>
          <w:rFonts w:hint="eastAsia" w:ascii="微软雅黑" w:hAnsi="微软雅黑"/>
          <w:lang w:val="en-US" w:eastAsia="zh-CN"/>
        </w:rPr>
        <w:t>初稿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编辑初稿</w:t>
      </w:r>
      <w:r>
        <w:rPr>
          <w:rFonts w:hint="eastAsia" w:ascii="微软雅黑" w:hAnsi="微软雅黑"/>
        </w:rPr>
        <w:t>”页面。</w:t>
      </w:r>
    </w:p>
    <w:p w14:paraId="47D1BA39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  <w:lang w:val="en-US" w:eastAsia="zh-CN"/>
        </w:rPr>
        <w:t>在待办事项中点击“处理”也可进入编辑初稿页面。</w:t>
      </w:r>
    </w:p>
    <w:p w14:paraId="0FCA2D65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点击“编辑”按钮，在弹出页面中，上传相关文件，点击“确认”。</w:t>
      </w:r>
    </w:p>
    <w:p w14:paraId="1721E9CA">
      <w:pPr>
        <w:snapToGrid w:val="0"/>
        <w:rPr>
          <w:rFonts w:hint="eastAsia" w:ascii="微软雅黑" w:hAnsi="微软雅黑"/>
        </w:rPr>
      </w:pPr>
      <w:r>
        <w:drawing>
          <wp:inline distT="0" distB="0" distL="114300" distR="114300">
            <wp:extent cx="5266055" cy="2427605"/>
            <wp:effectExtent l="0" t="0" r="1270" b="127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AF7E">
      <w:r>
        <w:drawing>
          <wp:inline distT="0" distB="0" distL="114300" distR="114300">
            <wp:extent cx="5269865" cy="2228215"/>
            <wp:effectExtent l="0" t="0" r="6985" b="63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DB63">
      <w:r>
        <w:drawing>
          <wp:inline distT="0" distB="0" distL="114300" distR="114300">
            <wp:extent cx="5260975" cy="2400935"/>
            <wp:effectExtent l="0" t="0" r="6350" b="889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4891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eastAsia" w:eastAsia="宋体"/>
          <w:b w:val="0"/>
          <w:bCs/>
          <w:sz w:val="28"/>
          <w:szCs w:val="28"/>
          <w:lang w:val="en-US" w:eastAsia="zh-CN"/>
        </w:rPr>
      </w:pPr>
      <w:bookmarkStart w:id="14" w:name="_Toc9680"/>
      <w:r>
        <w:rPr>
          <w:rFonts w:hint="eastAsia"/>
          <w:b w:val="0"/>
          <w:bCs/>
          <w:sz w:val="28"/>
          <w:szCs w:val="28"/>
          <w:lang w:val="en-US" w:eastAsia="zh-CN"/>
        </w:rPr>
        <w:t>3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</w:rPr>
        <w:t>学生</w:t>
      </w:r>
      <w:r>
        <w:rPr>
          <w:rFonts w:hint="eastAsia"/>
          <w:b w:val="0"/>
          <w:bCs/>
          <w:sz w:val="28"/>
          <w:szCs w:val="28"/>
        </w:rPr>
        <w:t>提交</w:t>
      </w:r>
      <w:bookmarkEnd w:id="14"/>
      <w:r>
        <w:rPr>
          <w:rFonts w:hint="eastAsia"/>
          <w:b w:val="0"/>
          <w:bCs/>
          <w:sz w:val="28"/>
          <w:szCs w:val="28"/>
          <w:lang w:val="en-US" w:eastAsia="zh-CN"/>
        </w:rPr>
        <w:t>答辩稿</w:t>
      </w:r>
    </w:p>
    <w:p w14:paraId="42789ECE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点击左侧菜单进入“过程管理”—“</w:t>
      </w:r>
      <w:r>
        <w:rPr>
          <w:rFonts w:hint="eastAsia" w:ascii="微软雅黑" w:hAnsi="微软雅黑"/>
          <w:lang w:val="en-US" w:eastAsia="zh-CN"/>
        </w:rPr>
        <w:t>答辩稿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编辑答辩稿</w:t>
      </w:r>
      <w:r>
        <w:rPr>
          <w:rFonts w:hint="eastAsia" w:ascii="微软雅黑" w:hAnsi="微软雅黑"/>
        </w:rPr>
        <w:t>”页面。</w:t>
      </w:r>
    </w:p>
    <w:p w14:paraId="49894371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  <w:lang w:val="en-US" w:eastAsia="zh-CN"/>
        </w:rPr>
        <w:t>在待办事项中点击“处理”也可进入编辑答辩稿页面。</w:t>
      </w:r>
    </w:p>
    <w:p w14:paraId="04F87443">
      <w:pPr>
        <w:ind w:firstLine="420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点击“编辑”按钮，在弹出页面中，上传相关文件，点击“确认”。</w:t>
      </w:r>
    </w:p>
    <w:p w14:paraId="585F1005">
      <w:r>
        <w:drawing>
          <wp:inline distT="0" distB="0" distL="114300" distR="114300">
            <wp:extent cx="5266690" cy="2090420"/>
            <wp:effectExtent l="0" t="0" r="635" b="508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1CC8">
      <w:r>
        <w:drawing>
          <wp:inline distT="0" distB="0" distL="114300" distR="114300">
            <wp:extent cx="5266690" cy="2216785"/>
            <wp:effectExtent l="0" t="0" r="635" b="254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AC89">
      <w:r>
        <w:drawing>
          <wp:inline distT="0" distB="0" distL="114300" distR="114300">
            <wp:extent cx="5270500" cy="2423160"/>
            <wp:effectExtent l="0" t="0" r="6350" b="571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EE4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6A845446">
      <w:pPr>
        <w:ind w:left="420" w:leftChars="0"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①提交论文之后，自动提交论文检测，如检测不合格自动退回学生重新提交。</w:t>
      </w:r>
    </w:p>
    <w:p w14:paraId="5D59CB36">
      <w:pPr>
        <w:ind w:left="420" w:leftChars="0"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②如系统内检测次数用完后仍需进行检测，可点击“个人论文检测”按钮进行检测，检测后结果将自动返回系统。</w:t>
      </w:r>
    </w:p>
    <w:p w14:paraId="154CE2FB">
      <w:p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73040" cy="2220595"/>
            <wp:effectExtent l="0" t="0" r="3810" b="825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C3EE"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③特别注意：学生自检只有通过“个人论文检测”按钮的检测结果可以返回系统内，其它渠道的检测结果只能作为参考，不能同步到系统中。</w:t>
      </w:r>
    </w:p>
    <w:p w14:paraId="19B1E734">
      <w:pPr>
        <w:pStyle w:val="3"/>
        <w:snapToGrid w:val="0"/>
        <w:spacing w:before="156" w:beforeLines="50" w:after="156" w:afterLines="50" w:line="240" w:lineRule="auto"/>
        <w:ind w:firstLine="420"/>
        <w:rPr>
          <w:rFonts w:hint="eastAsia"/>
          <w:lang w:val="en-US" w:eastAsia="zh-CN"/>
        </w:rPr>
      </w:pPr>
      <w:bookmarkStart w:id="15" w:name="_Toc7464"/>
      <w:r>
        <w:rPr>
          <w:rFonts w:hint="eastAsia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最终稿</w:t>
      </w:r>
      <w:bookmarkEnd w:id="15"/>
    </w:p>
    <w:p w14:paraId="786A7908">
      <w:pPr>
        <w:pStyle w:val="4"/>
        <w:snapToGrid w:val="0"/>
        <w:spacing w:before="156" w:beforeLines="50" w:after="156" w:afterLines="50" w:line="240" w:lineRule="auto"/>
        <w:ind w:firstLine="560" w:firstLineChars="200"/>
        <w:rPr>
          <w:rFonts w:hint="default" w:eastAsia="宋体"/>
          <w:b w:val="0"/>
          <w:bCs/>
          <w:sz w:val="28"/>
          <w:szCs w:val="28"/>
          <w:lang w:val="en-US" w:eastAsia="zh-CN"/>
        </w:rPr>
      </w:pPr>
      <w:bookmarkStart w:id="16" w:name="_Toc6993"/>
      <w:r>
        <w:rPr>
          <w:rFonts w:hint="eastAsia"/>
          <w:b w:val="0"/>
          <w:bCs/>
          <w:sz w:val="28"/>
          <w:szCs w:val="28"/>
          <w:lang w:val="en-US" w:eastAsia="zh-CN"/>
        </w:rPr>
        <w:t>1</w:t>
      </w:r>
      <w:r>
        <w:rPr>
          <w:rFonts w:hint="eastAsia"/>
          <w:b w:val="0"/>
          <w:bCs/>
          <w:sz w:val="28"/>
          <w:szCs w:val="28"/>
        </w:rPr>
        <w:t>.</w:t>
      </w:r>
      <w:r>
        <w:rPr>
          <w:rFonts w:hint="eastAsia"/>
          <w:b w:val="0"/>
          <w:bCs/>
          <w:color w:val="FF0000"/>
          <w:sz w:val="28"/>
          <w:szCs w:val="28"/>
        </w:rPr>
        <w:t>学生</w:t>
      </w:r>
      <w:r>
        <w:rPr>
          <w:rFonts w:hint="eastAsia"/>
          <w:b w:val="0"/>
          <w:bCs/>
          <w:sz w:val="28"/>
          <w:szCs w:val="28"/>
        </w:rPr>
        <w:t>提交</w:t>
      </w:r>
      <w:r>
        <w:rPr>
          <w:rFonts w:hint="eastAsia"/>
          <w:b w:val="0"/>
          <w:bCs/>
          <w:sz w:val="28"/>
          <w:szCs w:val="28"/>
          <w:lang w:val="en-US" w:eastAsia="zh-CN"/>
        </w:rPr>
        <w:t>最终稿</w:t>
      </w:r>
      <w:bookmarkEnd w:id="16"/>
    </w:p>
    <w:p w14:paraId="6D7561BE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</w:t>
      </w:r>
      <w:r>
        <w:rPr>
          <w:rFonts w:hint="eastAsia" w:ascii="微软雅黑" w:hAnsi="微软雅黑"/>
          <w:lang w:val="en-US" w:eastAsia="zh-CN"/>
        </w:rPr>
        <w:t>最终稿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最终稿</w:t>
      </w:r>
      <w:r>
        <w:rPr>
          <w:rFonts w:hint="eastAsia" w:ascii="微软雅黑" w:hAnsi="微软雅黑"/>
        </w:rPr>
        <w:t>”—“编辑</w:t>
      </w:r>
      <w:r>
        <w:rPr>
          <w:rFonts w:hint="eastAsia" w:ascii="微软雅黑" w:hAnsi="微软雅黑"/>
          <w:lang w:val="en-US" w:eastAsia="zh-CN"/>
        </w:rPr>
        <w:t>最终稿</w:t>
      </w:r>
      <w:r>
        <w:rPr>
          <w:rFonts w:hint="eastAsia" w:ascii="微软雅黑" w:hAnsi="微软雅黑"/>
        </w:rPr>
        <w:t>”页面。</w:t>
      </w:r>
    </w:p>
    <w:p w14:paraId="794B84AF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  <w:lang w:val="en-US" w:eastAsia="zh-CN"/>
        </w:rPr>
        <w:t>在待办事项中点击“处理”也可进入编辑最终稿页面。</w:t>
      </w:r>
    </w:p>
    <w:p w14:paraId="6A0E1902">
      <w:pPr>
        <w:snapToGrid w:val="0"/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点击“</w:t>
      </w:r>
      <w:r>
        <w:rPr>
          <w:rFonts w:hint="eastAsia" w:ascii="微软雅黑" w:hAnsi="微软雅黑"/>
          <w:lang w:val="en-US" w:eastAsia="zh-CN"/>
        </w:rPr>
        <w:t>编辑</w:t>
      </w:r>
      <w:r>
        <w:rPr>
          <w:rFonts w:hint="eastAsia" w:ascii="微软雅黑" w:hAnsi="微软雅黑"/>
        </w:rPr>
        <w:t>”按钮，在弹出页面中，</w:t>
      </w:r>
      <w:r>
        <w:rPr>
          <w:rFonts w:hint="eastAsia" w:ascii="微软雅黑" w:hAnsi="微软雅黑"/>
          <w:lang w:val="en-US" w:eastAsia="zh-CN"/>
        </w:rPr>
        <w:t>填写抽检字段，上传论文稿件</w:t>
      </w:r>
      <w:r>
        <w:rPr>
          <w:rFonts w:hint="eastAsia" w:ascii="微软雅黑" w:hAnsi="微软雅黑"/>
        </w:rPr>
        <w:t>，点击“确认”。</w:t>
      </w:r>
    </w:p>
    <w:p w14:paraId="7B7046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textAlignment w:val="auto"/>
      </w:pPr>
      <w:r>
        <w:drawing>
          <wp:inline distT="0" distB="0" distL="114300" distR="114300">
            <wp:extent cx="5263515" cy="2183765"/>
            <wp:effectExtent l="0" t="0" r="3810" b="698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7B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textAlignment w:val="auto"/>
      </w:pPr>
      <w:r>
        <w:drawing>
          <wp:inline distT="0" distB="0" distL="114300" distR="114300">
            <wp:extent cx="5264785" cy="2226310"/>
            <wp:effectExtent l="0" t="0" r="2540" b="254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0E1FB">
      <w:pPr>
        <w:snapToGrid w:val="0"/>
      </w:pPr>
      <w:r>
        <w:drawing>
          <wp:inline distT="0" distB="0" distL="114300" distR="114300">
            <wp:extent cx="5267960" cy="2438400"/>
            <wp:effectExtent l="0" t="0" r="8890" b="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B7B6">
      <w:pPr>
        <w:snapToGrid w:val="0"/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</w:t>
      </w:r>
    </w:p>
    <w:p w14:paraId="093CD7FE">
      <w:pPr>
        <w:snapToGrid w:val="0"/>
        <w:ind w:left="420" w:leftChars="0" w:firstLine="420" w:firstLineChars="0"/>
      </w:pPr>
      <w:r>
        <w:rPr>
          <w:rFonts w:hint="eastAsia"/>
          <w:color w:val="FF0000"/>
          <w:lang w:val="en-US" w:eastAsia="zh-CN"/>
        </w:rPr>
        <w:t>①提交论文之后，系统自动提交论文检测，检测不合格自动退回学生重新提交。</w:t>
      </w:r>
    </w:p>
    <w:p w14:paraId="437E813B">
      <w:pPr>
        <w:snapToGrid w:val="0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②如系统内检测次数用完后仍需进行检测，可点击“个人论文检测”按钮进行检测，检测后结果将自动返回系统。</w:t>
      </w:r>
    </w:p>
    <w:p w14:paraId="7E040D43">
      <w:pPr>
        <w:snapToGrid w:val="0"/>
      </w:pPr>
      <w:r>
        <w:drawing>
          <wp:inline distT="0" distB="0" distL="114300" distR="114300">
            <wp:extent cx="5268595" cy="2349500"/>
            <wp:effectExtent l="0" t="0" r="8255" b="317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3B8F4">
      <w:pPr>
        <w:snapToGrid w:val="0"/>
        <w:ind w:left="420" w:leftChars="0" w:firstLine="420" w:firstLineChars="0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③特别注意：学生自检只有通过“个人论文检测”按钮的检测结果可以返回系统内，其它渠道的检测结果只能作为参考，不能同步到系统中。</w:t>
      </w:r>
    </w:p>
    <w:p w14:paraId="5AE245F6">
      <w:pPr>
        <w:pStyle w:val="3"/>
        <w:spacing w:line="240" w:lineRule="auto"/>
        <w:ind w:firstLine="420"/>
        <w:rPr>
          <w:rFonts w:hint="default" w:eastAsia="宋体"/>
          <w:lang w:val="en-US" w:eastAsia="zh-CN"/>
        </w:rPr>
      </w:pPr>
      <w:bookmarkStart w:id="17" w:name="_Toc21920"/>
      <w:r>
        <w:rPr>
          <w:rFonts w:hint="eastAsia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下载中心</w:t>
      </w:r>
      <w:bookmarkEnd w:id="17"/>
    </w:p>
    <w:p w14:paraId="67B9C4B0">
      <w:pPr>
        <w:pStyle w:val="4"/>
        <w:snapToGrid w:val="0"/>
        <w:spacing w:before="156" w:beforeLines="50" w:after="156" w:afterLines="50" w:line="240" w:lineRule="auto"/>
        <w:ind w:firstLine="420"/>
        <w:rPr>
          <w:rFonts w:hint="default"/>
          <w:b w:val="0"/>
          <w:bCs/>
          <w:sz w:val="28"/>
          <w:szCs w:val="28"/>
          <w:lang w:val="en-US"/>
        </w:rPr>
      </w:pPr>
      <w:bookmarkStart w:id="18" w:name="_Toc28421"/>
      <w:r>
        <w:rPr>
          <w:rFonts w:hint="eastAsia"/>
          <w:b w:val="0"/>
          <w:bCs/>
          <w:sz w:val="28"/>
          <w:szCs w:val="28"/>
        </w:rPr>
        <w:t>1.</w:t>
      </w:r>
      <w:r>
        <w:rPr>
          <w:rFonts w:hint="eastAsia"/>
          <w:b w:val="0"/>
          <w:bCs/>
          <w:color w:val="auto"/>
          <w:sz w:val="28"/>
          <w:szCs w:val="28"/>
          <w:lang w:val="en-US" w:eastAsia="zh-CN"/>
        </w:rPr>
        <w:t>文件下载</w:t>
      </w:r>
      <w:bookmarkEnd w:id="18"/>
    </w:p>
    <w:p w14:paraId="44508C4E">
      <w:pPr>
        <w:snapToGrid w:val="0"/>
        <w:ind w:firstLine="42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点击左侧菜单进入“</w:t>
      </w:r>
      <w:r>
        <w:rPr>
          <w:rFonts w:hint="eastAsia" w:ascii="微软雅黑" w:hAnsi="微软雅黑"/>
          <w:lang w:val="en-US" w:eastAsia="zh-CN"/>
        </w:rPr>
        <w:t>下载中心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文件下载</w:t>
      </w:r>
      <w:r>
        <w:rPr>
          <w:rFonts w:hint="eastAsia" w:ascii="微软雅黑" w:hAnsi="微软雅黑"/>
        </w:rPr>
        <w:t>”—“</w:t>
      </w:r>
      <w:r>
        <w:rPr>
          <w:rFonts w:hint="eastAsia" w:ascii="微软雅黑" w:hAnsi="微软雅黑"/>
          <w:lang w:val="en-US" w:eastAsia="zh-CN"/>
        </w:rPr>
        <w:t>导出列表文件</w:t>
      </w:r>
      <w:r>
        <w:rPr>
          <w:rFonts w:hint="eastAsia" w:ascii="微软雅黑" w:hAnsi="微软雅黑"/>
        </w:rPr>
        <w:t>”页面</w:t>
      </w:r>
    </w:p>
    <w:p w14:paraId="17B2CCC0">
      <w:pPr>
        <w:snapToGrid w:val="0"/>
        <w:ind w:firstLine="420"/>
        <w:rPr>
          <w:rFonts w:hint="eastAsia" w:ascii="微软雅黑" w:hAnsi="微软雅黑"/>
        </w:rPr>
      </w:pPr>
      <w:r>
        <w:rPr>
          <w:rFonts w:hint="eastAsia" w:ascii="微软雅黑" w:hAnsi="微软雅黑"/>
          <w:lang w:val="en-US" w:eastAsia="zh-CN"/>
        </w:rPr>
        <w:t>点击“全部导出”或“导出选中”，在弹出框内勾选</w:t>
      </w:r>
      <w:r>
        <w:rPr>
          <w:rFonts w:hint="eastAsia" w:ascii="微软雅黑" w:hAnsi="微软雅黑"/>
        </w:rPr>
        <w:t>要</w:t>
      </w:r>
      <w:r>
        <w:rPr>
          <w:rFonts w:hint="eastAsia" w:ascii="微软雅黑" w:hAnsi="微软雅黑"/>
          <w:lang w:val="en-US" w:eastAsia="zh-CN"/>
        </w:rPr>
        <w:t>导出的文件，点击“确认导出”</w:t>
      </w:r>
      <w:r>
        <w:rPr>
          <w:rFonts w:hint="eastAsia" w:ascii="微软雅黑" w:hAnsi="微软雅黑"/>
        </w:rPr>
        <w:t>。</w:t>
      </w:r>
    </w:p>
    <w:p w14:paraId="062690B6">
      <w:pPr>
        <w:snapToGrid w:val="0"/>
      </w:pPr>
      <w:r>
        <w:drawing>
          <wp:inline distT="0" distB="0" distL="114300" distR="114300">
            <wp:extent cx="5266690" cy="1934845"/>
            <wp:effectExtent l="0" t="0" r="635" b="8255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A75A">
      <w:pPr>
        <w:snapToGrid w:val="0"/>
        <w:rPr>
          <w:rFonts w:hint="eastAsia"/>
        </w:rPr>
      </w:pPr>
      <w:r>
        <w:drawing>
          <wp:inline distT="0" distB="0" distL="114300" distR="114300">
            <wp:extent cx="5271770" cy="2398395"/>
            <wp:effectExtent l="0" t="0" r="5080" b="190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9CCC">
      <w:pPr>
        <w:snapToGrid w:val="0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导出后点击“我的下载列表”，在弹出框内下载导出的文件。</w:t>
      </w:r>
    </w:p>
    <w:p w14:paraId="1EC5CDAC">
      <w:pPr>
        <w:snapToGrid w:val="0"/>
        <w:rPr>
          <w:rFonts w:hint="eastAsia"/>
        </w:rPr>
      </w:pPr>
      <w:r>
        <w:drawing>
          <wp:inline distT="0" distB="0" distL="114300" distR="114300">
            <wp:extent cx="5271770" cy="2218690"/>
            <wp:effectExtent l="0" t="0" r="5080" b="635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iYWEzZjM0N2QxMjZjMmYxODQ2YzFmMDVlMjBjZTEifQ=="/>
  </w:docVars>
  <w:rsids>
    <w:rsidRoot w:val="00305329"/>
    <w:rsid w:val="00022F5A"/>
    <w:rsid w:val="00121545"/>
    <w:rsid w:val="00192AC9"/>
    <w:rsid w:val="001C4D9B"/>
    <w:rsid w:val="002B03B1"/>
    <w:rsid w:val="00305329"/>
    <w:rsid w:val="0035529F"/>
    <w:rsid w:val="003A1912"/>
    <w:rsid w:val="003D001A"/>
    <w:rsid w:val="003E1B3A"/>
    <w:rsid w:val="003F4517"/>
    <w:rsid w:val="004A12A9"/>
    <w:rsid w:val="0053441E"/>
    <w:rsid w:val="005653FD"/>
    <w:rsid w:val="005927B0"/>
    <w:rsid w:val="005A7324"/>
    <w:rsid w:val="005E01D3"/>
    <w:rsid w:val="006A7912"/>
    <w:rsid w:val="006F58F2"/>
    <w:rsid w:val="0075597A"/>
    <w:rsid w:val="0088761B"/>
    <w:rsid w:val="008C07DD"/>
    <w:rsid w:val="008F6626"/>
    <w:rsid w:val="00924F79"/>
    <w:rsid w:val="00982F72"/>
    <w:rsid w:val="009F33C5"/>
    <w:rsid w:val="009F77E1"/>
    <w:rsid w:val="00AD1830"/>
    <w:rsid w:val="00AE7806"/>
    <w:rsid w:val="00CA33B6"/>
    <w:rsid w:val="00E167B1"/>
    <w:rsid w:val="00E3362B"/>
    <w:rsid w:val="00ED2D25"/>
    <w:rsid w:val="00EE465E"/>
    <w:rsid w:val="00FC0543"/>
    <w:rsid w:val="00FF3165"/>
    <w:rsid w:val="01364C45"/>
    <w:rsid w:val="0163309E"/>
    <w:rsid w:val="01A22C15"/>
    <w:rsid w:val="02263013"/>
    <w:rsid w:val="023B1CEC"/>
    <w:rsid w:val="030E3B75"/>
    <w:rsid w:val="03595555"/>
    <w:rsid w:val="04064DB3"/>
    <w:rsid w:val="04540C14"/>
    <w:rsid w:val="0594084E"/>
    <w:rsid w:val="05D04166"/>
    <w:rsid w:val="05DD23F7"/>
    <w:rsid w:val="064323A1"/>
    <w:rsid w:val="080B779B"/>
    <w:rsid w:val="089A41C5"/>
    <w:rsid w:val="08F27E3E"/>
    <w:rsid w:val="091F5DF1"/>
    <w:rsid w:val="098570AE"/>
    <w:rsid w:val="0A9638E7"/>
    <w:rsid w:val="0AA5778C"/>
    <w:rsid w:val="0B865483"/>
    <w:rsid w:val="0BE41C3B"/>
    <w:rsid w:val="0C511FC0"/>
    <w:rsid w:val="0C965FE6"/>
    <w:rsid w:val="0D167322"/>
    <w:rsid w:val="0E314AEF"/>
    <w:rsid w:val="0F7C2A15"/>
    <w:rsid w:val="0FD62B7A"/>
    <w:rsid w:val="100A7E2A"/>
    <w:rsid w:val="10262B15"/>
    <w:rsid w:val="107E2DB0"/>
    <w:rsid w:val="110E73FF"/>
    <w:rsid w:val="11177B40"/>
    <w:rsid w:val="11733C86"/>
    <w:rsid w:val="11A65EF9"/>
    <w:rsid w:val="1275396F"/>
    <w:rsid w:val="12980D80"/>
    <w:rsid w:val="13191D25"/>
    <w:rsid w:val="139B7146"/>
    <w:rsid w:val="13C26E3B"/>
    <w:rsid w:val="13D31F80"/>
    <w:rsid w:val="14186D67"/>
    <w:rsid w:val="14702A30"/>
    <w:rsid w:val="149037AC"/>
    <w:rsid w:val="15227E9D"/>
    <w:rsid w:val="15E44044"/>
    <w:rsid w:val="16D521D3"/>
    <w:rsid w:val="16FD4C90"/>
    <w:rsid w:val="172022C7"/>
    <w:rsid w:val="178211BE"/>
    <w:rsid w:val="18D717DF"/>
    <w:rsid w:val="19ED457C"/>
    <w:rsid w:val="1A1232D3"/>
    <w:rsid w:val="1A795A47"/>
    <w:rsid w:val="1AE43EB9"/>
    <w:rsid w:val="1B3B255C"/>
    <w:rsid w:val="1BB17CE0"/>
    <w:rsid w:val="1C067756"/>
    <w:rsid w:val="1C1147C7"/>
    <w:rsid w:val="1C2856B5"/>
    <w:rsid w:val="1CE02723"/>
    <w:rsid w:val="1D3371AD"/>
    <w:rsid w:val="1D746DDC"/>
    <w:rsid w:val="1D783676"/>
    <w:rsid w:val="1DE32C17"/>
    <w:rsid w:val="1F63358C"/>
    <w:rsid w:val="1FD06EA3"/>
    <w:rsid w:val="21AB4570"/>
    <w:rsid w:val="21B55A58"/>
    <w:rsid w:val="21C32C2D"/>
    <w:rsid w:val="22954501"/>
    <w:rsid w:val="22F10EAE"/>
    <w:rsid w:val="23082911"/>
    <w:rsid w:val="23F37AD0"/>
    <w:rsid w:val="24961D0D"/>
    <w:rsid w:val="24F55DEB"/>
    <w:rsid w:val="258A30B8"/>
    <w:rsid w:val="25B240EF"/>
    <w:rsid w:val="25ED50B4"/>
    <w:rsid w:val="262266A2"/>
    <w:rsid w:val="264C2EC3"/>
    <w:rsid w:val="26A8437E"/>
    <w:rsid w:val="270C4509"/>
    <w:rsid w:val="28037FA1"/>
    <w:rsid w:val="284611E4"/>
    <w:rsid w:val="28742B21"/>
    <w:rsid w:val="292E684B"/>
    <w:rsid w:val="297D12CC"/>
    <w:rsid w:val="299B6BAD"/>
    <w:rsid w:val="29B906C4"/>
    <w:rsid w:val="2A265AA3"/>
    <w:rsid w:val="2B9D01C6"/>
    <w:rsid w:val="2C3F6D9D"/>
    <w:rsid w:val="2CD226C8"/>
    <w:rsid w:val="2DB13C48"/>
    <w:rsid w:val="2DDC50D9"/>
    <w:rsid w:val="2EC028C7"/>
    <w:rsid w:val="2F6835F4"/>
    <w:rsid w:val="301663F8"/>
    <w:rsid w:val="30CA1980"/>
    <w:rsid w:val="31151771"/>
    <w:rsid w:val="311A0623"/>
    <w:rsid w:val="31BA0D5D"/>
    <w:rsid w:val="328542D0"/>
    <w:rsid w:val="330E6F6D"/>
    <w:rsid w:val="331175DB"/>
    <w:rsid w:val="332F7B56"/>
    <w:rsid w:val="336959EC"/>
    <w:rsid w:val="341E05C9"/>
    <w:rsid w:val="3474676A"/>
    <w:rsid w:val="34A63644"/>
    <w:rsid w:val="34E940DB"/>
    <w:rsid w:val="35586B6B"/>
    <w:rsid w:val="355C79F5"/>
    <w:rsid w:val="359B692C"/>
    <w:rsid w:val="35AE40E0"/>
    <w:rsid w:val="361121FD"/>
    <w:rsid w:val="368F2BB5"/>
    <w:rsid w:val="36D26A27"/>
    <w:rsid w:val="37B15860"/>
    <w:rsid w:val="38BF114C"/>
    <w:rsid w:val="39D11440"/>
    <w:rsid w:val="39E3712E"/>
    <w:rsid w:val="39E97F5D"/>
    <w:rsid w:val="3A2320A2"/>
    <w:rsid w:val="3A2D00A5"/>
    <w:rsid w:val="3A6239D7"/>
    <w:rsid w:val="3AAC6A9A"/>
    <w:rsid w:val="3ABC52C8"/>
    <w:rsid w:val="3B667829"/>
    <w:rsid w:val="3B920829"/>
    <w:rsid w:val="3C9B7211"/>
    <w:rsid w:val="3D387E51"/>
    <w:rsid w:val="3D644072"/>
    <w:rsid w:val="3E4668D1"/>
    <w:rsid w:val="3E8D04AF"/>
    <w:rsid w:val="3E96455C"/>
    <w:rsid w:val="3EEC5577"/>
    <w:rsid w:val="3F4C14EF"/>
    <w:rsid w:val="3F6E36BB"/>
    <w:rsid w:val="3FF6392A"/>
    <w:rsid w:val="40151122"/>
    <w:rsid w:val="403703F1"/>
    <w:rsid w:val="409E7168"/>
    <w:rsid w:val="40A1007D"/>
    <w:rsid w:val="40D73BA8"/>
    <w:rsid w:val="41D862AD"/>
    <w:rsid w:val="41F52A0E"/>
    <w:rsid w:val="424E1A22"/>
    <w:rsid w:val="42E421CA"/>
    <w:rsid w:val="4388269E"/>
    <w:rsid w:val="43D90C16"/>
    <w:rsid w:val="447D7C06"/>
    <w:rsid w:val="44A57B06"/>
    <w:rsid w:val="46A75C58"/>
    <w:rsid w:val="46CB39D7"/>
    <w:rsid w:val="46DE54E3"/>
    <w:rsid w:val="47210116"/>
    <w:rsid w:val="472D4FA9"/>
    <w:rsid w:val="474C6BD1"/>
    <w:rsid w:val="479C4F25"/>
    <w:rsid w:val="482F7405"/>
    <w:rsid w:val="48391EBB"/>
    <w:rsid w:val="484D14FE"/>
    <w:rsid w:val="492A1DE4"/>
    <w:rsid w:val="49A53561"/>
    <w:rsid w:val="4B1A6754"/>
    <w:rsid w:val="4BD46BF0"/>
    <w:rsid w:val="4C7412C5"/>
    <w:rsid w:val="4CA419BE"/>
    <w:rsid w:val="4D6B3859"/>
    <w:rsid w:val="4DBD6FC4"/>
    <w:rsid w:val="4E4C75CE"/>
    <w:rsid w:val="4E504E9E"/>
    <w:rsid w:val="4EAD2B0A"/>
    <w:rsid w:val="4ED736E4"/>
    <w:rsid w:val="4F4F373F"/>
    <w:rsid w:val="4FB22E7D"/>
    <w:rsid w:val="50137E07"/>
    <w:rsid w:val="50DF5B07"/>
    <w:rsid w:val="515D4046"/>
    <w:rsid w:val="51EF0175"/>
    <w:rsid w:val="522B0225"/>
    <w:rsid w:val="527851EC"/>
    <w:rsid w:val="528F4F7F"/>
    <w:rsid w:val="53164395"/>
    <w:rsid w:val="53522F2B"/>
    <w:rsid w:val="53590226"/>
    <w:rsid w:val="53F676EA"/>
    <w:rsid w:val="53FD20A9"/>
    <w:rsid w:val="54547399"/>
    <w:rsid w:val="547A2A58"/>
    <w:rsid w:val="55CB6607"/>
    <w:rsid w:val="55E33464"/>
    <w:rsid w:val="55F97F96"/>
    <w:rsid w:val="567F61F6"/>
    <w:rsid w:val="56BD53A5"/>
    <w:rsid w:val="56FA762A"/>
    <w:rsid w:val="575546F8"/>
    <w:rsid w:val="57861C50"/>
    <w:rsid w:val="578C0FB5"/>
    <w:rsid w:val="57B0377C"/>
    <w:rsid w:val="57F80FF7"/>
    <w:rsid w:val="58173AC8"/>
    <w:rsid w:val="58403763"/>
    <w:rsid w:val="584E1E05"/>
    <w:rsid w:val="58DF2585"/>
    <w:rsid w:val="590F55CF"/>
    <w:rsid w:val="59F01C15"/>
    <w:rsid w:val="5AD73286"/>
    <w:rsid w:val="5ADD34EB"/>
    <w:rsid w:val="5AED0DE8"/>
    <w:rsid w:val="5C050B76"/>
    <w:rsid w:val="5C133134"/>
    <w:rsid w:val="5C2665C3"/>
    <w:rsid w:val="5C3D458D"/>
    <w:rsid w:val="5C626C2B"/>
    <w:rsid w:val="5CF707A0"/>
    <w:rsid w:val="5E176B86"/>
    <w:rsid w:val="5E2D1A88"/>
    <w:rsid w:val="5F2E3428"/>
    <w:rsid w:val="5F8A3EE9"/>
    <w:rsid w:val="5FD53CCE"/>
    <w:rsid w:val="5FE61B61"/>
    <w:rsid w:val="5FFC265B"/>
    <w:rsid w:val="609D3AE0"/>
    <w:rsid w:val="61215109"/>
    <w:rsid w:val="616801DE"/>
    <w:rsid w:val="618242F4"/>
    <w:rsid w:val="61AA6976"/>
    <w:rsid w:val="628074C4"/>
    <w:rsid w:val="629E32DC"/>
    <w:rsid w:val="62D124D2"/>
    <w:rsid w:val="62D8112E"/>
    <w:rsid w:val="63061E21"/>
    <w:rsid w:val="634975F7"/>
    <w:rsid w:val="642D574C"/>
    <w:rsid w:val="645C2819"/>
    <w:rsid w:val="64764029"/>
    <w:rsid w:val="652E3C0F"/>
    <w:rsid w:val="6597728E"/>
    <w:rsid w:val="679459C7"/>
    <w:rsid w:val="690F51B7"/>
    <w:rsid w:val="699E71D2"/>
    <w:rsid w:val="69D361E5"/>
    <w:rsid w:val="69F65A5F"/>
    <w:rsid w:val="6A296AE7"/>
    <w:rsid w:val="6A6A3DBE"/>
    <w:rsid w:val="6B2F435D"/>
    <w:rsid w:val="6B7043C1"/>
    <w:rsid w:val="6BEB618E"/>
    <w:rsid w:val="6C691F43"/>
    <w:rsid w:val="6CA20D60"/>
    <w:rsid w:val="6CE95D1F"/>
    <w:rsid w:val="6D17493C"/>
    <w:rsid w:val="6DB91B96"/>
    <w:rsid w:val="6DC376C4"/>
    <w:rsid w:val="6DEF35E2"/>
    <w:rsid w:val="6DFB3F5C"/>
    <w:rsid w:val="6E1342B7"/>
    <w:rsid w:val="6E777D22"/>
    <w:rsid w:val="6E8D6CB9"/>
    <w:rsid w:val="6EA04580"/>
    <w:rsid w:val="6EB6680B"/>
    <w:rsid w:val="6F48190D"/>
    <w:rsid w:val="70867E9B"/>
    <w:rsid w:val="71044B32"/>
    <w:rsid w:val="71EF7858"/>
    <w:rsid w:val="720709DF"/>
    <w:rsid w:val="720C52BF"/>
    <w:rsid w:val="7261236B"/>
    <w:rsid w:val="72632FFC"/>
    <w:rsid w:val="72931A05"/>
    <w:rsid w:val="72A2431C"/>
    <w:rsid w:val="73653BD3"/>
    <w:rsid w:val="74977C4C"/>
    <w:rsid w:val="75040803"/>
    <w:rsid w:val="75A3125C"/>
    <w:rsid w:val="764A7E07"/>
    <w:rsid w:val="7676670E"/>
    <w:rsid w:val="779F608B"/>
    <w:rsid w:val="77C903B7"/>
    <w:rsid w:val="78E00BBD"/>
    <w:rsid w:val="78E13613"/>
    <w:rsid w:val="792C761D"/>
    <w:rsid w:val="79546F23"/>
    <w:rsid w:val="7967694A"/>
    <w:rsid w:val="7AB01E15"/>
    <w:rsid w:val="7AD9057B"/>
    <w:rsid w:val="7AF6338B"/>
    <w:rsid w:val="7B5A4041"/>
    <w:rsid w:val="7B6402C2"/>
    <w:rsid w:val="7C0B664A"/>
    <w:rsid w:val="7C5C018E"/>
    <w:rsid w:val="7CE41F2F"/>
    <w:rsid w:val="7D3F1FFF"/>
    <w:rsid w:val="7D6C7B8B"/>
    <w:rsid w:val="7DD92441"/>
    <w:rsid w:val="7E144742"/>
    <w:rsid w:val="7E421F1F"/>
    <w:rsid w:val="7ECE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6" w:lineRule="auto"/>
      <w:outlineLvl w:val="0"/>
    </w:pPr>
    <w:rPr>
      <w:rFonts w:asciiTheme="minorHAnsi" w:hAnsiTheme="minorHAnsi" w:eastAsiaTheme="minorEastAsia" w:cstheme="minorBidi"/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customStyle="1" w:styleId="13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4">
    <w:name w:val="批注框文本 字符"/>
    <w:basedOn w:val="12"/>
    <w:link w:val="6"/>
    <w:semiHidden/>
    <w:qFormat/>
    <w:uiPriority w:val="99"/>
    <w:rPr>
      <w:rFonts w:ascii="Calibri" w:hAnsi="Calibri" w:eastAsia="微软雅黑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2 字符"/>
    <w:basedOn w:val="12"/>
    <w:link w:val="3"/>
    <w:qFormat/>
    <w:uiPriority w:val="0"/>
    <w:rPr>
      <w:rFonts w:ascii="Calibri Light" w:hAnsi="Calibri Light" w:eastAsia="微软雅黑" w:cs="Times New Roman"/>
      <w:b/>
      <w:bCs/>
      <w:sz w:val="32"/>
      <w:szCs w:val="32"/>
    </w:rPr>
  </w:style>
  <w:style w:type="character" w:customStyle="1" w:styleId="17">
    <w:name w:val="页眉 字符"/>
    <w:basedOn w:val="12"/>
    <w:link w:val="8"/>
    <w:qFormat/>
    <w:uiPriority w:val="99"/>
    <w:rPr>
      <w:rFonts w:ascii="Calibri" w:hAnsi="Calibri" w:eastAsia="微软雅黑" w:cs="Times New Roman"/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rFonts w:ascii="Calibri" w:hAnsi="Calibri" w:eastAsia="微软雅黑" w:cs="Times New Roman"/>
      <w:sz w:val="18"/>
      <w:szCs w:val="18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1">
    <w:name w:val="标题 3 字符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1430</Words>
  <Characters>1473</Characters>
  <Lines>17</Lines>
  <Paragraphs>4</Paragraphs>
  <TotalTime>0</TotalTime>
  <ScaleCrop>false</ScaleCrop>
  <LinksUpToDate>false</LinksUpToDate>
  <CharactersWithSpaces>1521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2022-03-02T07:45:00Z</dcterms:created>
  <dc:creator>Admin</dc:creator>
  <cp:lastModifiedBy>蓝鸢</cp:lastModifiedBy>
  <dcterms:modified xsi:type="dcterms:W3CDTF">2025-12-09T06:57:07Z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C2FF5F6E3F8043E580A34ACB351B8503_13</vt:lpwstr>
  </property>
  <property fmtid="{D5CDD505-2E9C-101B-9397-08002B2CF9AE}" pid="4" name="KSOTemplateDocerSaveRecord">
    <vt:lpwstr>eyJoZGlkIjoiZGQyYzU0MDA3MWE1NzA2NDNlYTMzYmIwODJhMTRjZDEiLCJ1c2VySWQiOiI3Mzg4NDE1NDcifQ==</vt:lpwstr>
  </property>
</Properties>
</file>